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w w:val="80"/>
          <w:sz w:val="44"/>
          <w:szCs w:val="52"/>
        </w:rPr>
        <w:t>《高等学校哲学社会科学繁荣计划专项资金管理办法》</w:t>
      </w:r>
      <w:r>
        <w:rPr>
          <w:rFonts w:hint="eastAsia" w:ascii="方正小标宋简体" w:hAnsi="方正小标宋简体" w:eastAsia="方正小标宋简体" w:cs="方正小标宋简体"/>
          <w:sz w:val="44"/>
          <w:szCs w:val="52"/>
        </w:rPr>
        <w:t>（财教〔2021〕285号）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180" w:lineRule="atLeast"/>
        <w:ind w:left="0" w:right="0" w:firstLine="240"/>
        <w:jc w:val="center"/>
        <w:rPr>
          <w:rFonts w:hint="eastAsia" w:ascii="Verdana" w:hAnsi="Verdana" w:cs="Verdana"/>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第一章</w:t>
      </w:r>
      <w:r>
        <w:rPr>
          <w:rFonts w:hint="eastAsia" w:ascii="黑体" w:hAnsi="宋体" w:eastAsia="黑体" w:cs="黑体"/>
          <w:i w:val="0"/>
          <w:iCs w:val="0"/>
          <w:caps w:val="0"/>
          <w:color w:val="000000"/>
          <w:spacing w:val="0"/>
          <w:sz w:val="32"/>
          <w:szCs w:val="32"/>
          <w:bdr w:val="none" w:color="auto" w:sz="0" w:space="0"/>
          <w:shd w:val="clear" w:fill="FFFFFF"/>
        </w:rPr>
        <w:t>  总  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Verdana" w:hAnsi="Verdana" w:cs="Verdana"/>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第一条</w:t>
      </w:r>
      <w:r>
        <w:rPr>
          <w:rFonts w:hint="eastAsia" w:ascii="黑体" w:hAnsi="宋体" w:eastAsia="黑体" w:cs="黑体"/>
          <w:i w:val="0"/>
          <w:iCs w:val="0"/>
          <w:caps w:val="0"/>
          <w:color w:val="000000"/>
          <w:spacing w:val="0"/>
          <w:sz w:val="32"/>
          <w:szCs w:val="32"/>
          <w:bdr w:val="none" w:color="auto" w:sz="0" w:space="0"/>
          <w:shd w:val="clear" w:fill="FFFFFF"/>
        </w:rPr>
        <w:t> </w:t>
      </w:r>
      <w:r>
        <w:rPr>
          <w:rFonts w:ascii="仿宋_GB2312" w:hAnsi="Verdana" w:eastAsia="仿宋_GB2312" w:cs="仿宋_GB2312"/>
          <w:i w:val="0"/>
          <w:iCs w:val="0"/>
          <w:caps w:val="0"/>
          <w:color w:val="000000"/>
          <w:spacing w:val="0"/>
          <w:sz w:val="32"/>
          <w:szCs w:val="32"/>
          <w:bdr w:val="none" w:color="auto" w:sz="0" w:space="0"/>
          <w:shd w:val="clear" w:fill="FFFFFF"/>
        </w:rPr>
        <w:t>为规范</w:t>
      </w:r>
      <w:r>
        <w:rPr>
          <w:rFonts w:hint="eastAsia" w:ascii="仿宋_GB2312" w:hAnsi="Verdana" w:eastAsia="仿宋_GB2312" w:cs="仿宋_GB2312"/>
          <w:i w:val="0"/>
          <w:iCs w:val="0"/>
          <w:caps w:val="0"/>
          <w:color w:val="000000"/>
          <w:spacing w:val="0"/>
          <w:sz w:val="32"/>
          <w:szCs w:val="32"/>
          <w:bdr w:val="none" w:color="auto" w:sz="0" w:space="0"/>
          <w:shd w:val="clear" w:fill="FFFFFF"/>
        </w:rPr>
        <w:t>高等学校哲学社会科学繁荣计划专项资金（以下简称繁荣计划专项资金）管理和使用，提高资金使用效益，推动面向2035高校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第二条 </w:t>
      </w:r>
      <w:r>
        <w:rPr>
          <w:rFonts w:hint="eastAsia" w:ascii="仿宋_GB2312" w:hAnsi="Verdana" w:eastAsia="仿宋_GB2312" w:cs="仿宋_GB2312"/>
          <w:i w:val="0"/>
          <w:iCs w:val="0"/>
          <w:caps w:val="0"/>
          <w:color w:val="000000"/>
          <w:spacing w:val="0"/>
          <w:sz w:val="32"/>
          <w:szCs w:val="32"/>
          <w:shd w:val="clear" w:fill="FFFFFF"/>
        </w:rPr>
        <w:t>繁荣计划专项资金由中央财政安排，是用于支持高校思政课建设和哲学社会科学研究、学科发展、人才培养、队伍建设的专项资金。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第三条 </w:t>
      </w:r>
      <w:r>
        <w:rPr>
          <w:rFonts w:hint="eastAsia" w:ascii="仿宋_GB2312" w:hAnsi="Verdana" w:eastAsia="仿宋_GB2312" w:cs="仿宋_GB2312"/>
          <w:i w:val="0"/>
          <w:iCs w:val="0"/>
          <w:caps w:val="0"/>
          <w:color w:val="000000"/>
          <w:spacing w:val="0"/>
          <w:sz w:val="32"/>
          <w:szCs w:val="32"/>
          <w:shd w:val="clear" w:fill="FFFFFF"/>
        </w:rPr>
        <w:t>繁荣计划专项资金管理，以促进高校哲学社会科学高质量发展为目标，以推动高校加快构建中国特色哲学社会科学学科体系、学术体系、话语体系为重点，坚持以人为本、遵循规律、突出绩效、规范安全的原则。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第四条 </w:t>
      </w:r>
      <w:r>
        <w:rPr>
          <w:rFonts w:hint="eastAsia" w:ascii="仿宋_GB2312" w:hAnsi="Verdana" w:eastAsia="仿宋_GB2312" w:cs="仿宋_GB2312"/>
          <w:i w:val="0"/>
          <w:iCs w:val="0"/>
          <w:caps w:val="0"/>
          <w:color w:val="000000"/>
          <w:spacing w:val="0"/>
          <w:sz w:val="32"/>
          <w:szCs w:val="32"/>
          <w:shd w:val="clear" w:fill="FFFFFF"/>
        </w:rPr>
        <w:t>财政部根据国家教育事业发展规划，结合高校哲学社会科学资金需求、国家财力可能和绩效结果，将繁荣计划专项资金列入中央财政预算，核定支出规划和年度预算，对资金使用和管理情况进行监督指导。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第五条</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仿宋_GB2312" w:hAnsi="Verdana" w:eastAsia="仿宋_GB2312" w:cs="仿宋_GB2312"/>
          <w:i w:val="0"/>
          <w:iCs w:val="0"/>
          <w:caps w:val="0"/>
          <w:color w:val="000000"/>
          <w:spacing w:val="0"/>
          <w:sz w:val="32"/>
          <w:szCs w:val="32"/>
          <w:shd w:val="clear" w:fill="FFFFFF"/>
        </w:rPr>
        <w:t>教育部负责编制繁荣计划专项资金年度预算、具体组织实施和管理监督工作，健全绩效考评机制。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Verdana" w:hAnsi="Verdana" w:cs="Verdana"/>
          <w:i w:val="0"/>
          <w:iCs w:val="0"/>
          <w:caps w:val="0"/>
          <w:color w:val="000000"/>
          <w:spacing w:val="0"/>
          <w:sz w:val="12"/>
          <w:szCs w:val="12"/>
        </w:rPr>
      </w:pPr>
      <w:r>
        <w:rPr>
          <w:rFonts w:hint="eastAsia" w:ascii="黑体" w:hAnsi="宋体" w:eastAsia="黑体" w:cs="黑体"/>
          <w:i w:val="0"/>
          <w:iCs w:val="0"/>
          <w:caps w:val="0"/>
          <w:color w:val="000000"/>
          <w:spacing w:val="0"/>
          <w:sz w:val="32"/>
          <w:szCs w:val="32"/>
          <w:shd w:val="clear" w:fill="FFFFFF"/>
        </w:rPr>
        <w:t>第六条 </w:t>
      </w:r>
      <w:r>
        <w:rPr>
          <w:rFonts w:hint="eastAsia" w:ascii="仿宋_GB2312" w:hAnsi="Verdana" w:eastAsia="仿宋_GB2312" w:cs="仿宋_GB2312"/>
          <w:i w:val="0"/>
          <w:iCs w:val="0"/>
          <w:caps w:val="0"/>
          <w:color w:val="000000"/>
          <w:spacing w:val="0"/>
          <w:sz w:val="32"/>
          <w:szCs w:val="32"/>
          <w:shd w:val="clear" w:fill="FFFFFF"/>
        </w:rPr>
        <w:t>项目承担高校是繁荣计划专项资金管理的责任主体，建立健全专项资金管理制度，完善内部控制、绩效管理和监督约束机制，合理确定科研、财务、人事、资产、审计、监察等部门的责任和权限。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第七条</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仿宋_GB2312" w:hAnsi="Verdana" w:eastAsia="仿宋_GB2312" w:cs="仿宋_GB2312"/>
          <w:i w:val="0"/>
          <w:iCs w:val="0"/>
          <w:caps w:val="0"/>
          <w:color w:val="000000"/>
          <w:spacing w:val="0"/>
          <w:sz w:val="32"/>
          <w:szCs w:val="32"/>
          <w:shd w:val="clear" w:fill="FFFFFF"/>
        </w:rPr>
        <w:t>项目负责人是繁荣计划专项资金使用的直接责任人，对资金使用的合法合规性、合理性、真实性和相关性负责。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第八条 </w:t>
      </w:r>
      <w:r>
        <w:rPr>
          <w:rFonts w:hint="eastAsia" w:ascii="仿宋_GB2312" w:hAnsi="Verdana" w:eastAsia="仿宋_GB2312" w:cs="仿宋_GB2312"/>
          <w:i w:val="0"/>
          <w:iCs w:val="0"/>
          <w:caps w:val="0"/>
          <w:color w:val="000000"/>
          <w:spacing w:val="0"/>
          <w:sz w:val="32"/>
          <w:szCs w:val="32"/>
          <w:shd w:val="clear" w:fill="FFFFFF"/>
        </w:rPr>
        <w:t>繁荣计划专项资金分为研究项目资金、非研究项目资金和管理资金。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center"/>
        <w:rPr>
          <w:rFonts w:hint="default"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第二章  研究项目资金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第九条 </w:t>
      </w:r>
      <w:r>
        <w:rPr>
          <w:rFonts w:hint="eastAsia" w:ascii="仿宋_GB2312" w:hAnsi="Verdana" w:eastAsia="仿宋_GB2312" w:cs="仿宋_GB2312"/>
          <w:i w:val="0"/>
          <w:iCs w:val="0"/>
          <w:caps w:val="0"/>
          <w:color w:val="000000"/>
          <w:spacing w:val="0"/>
          <w:sz w:val="32"/>
          <w:szCs w:val="32"/>
          <w:shd w:val="clear" w:fill="FFFFFF"/>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本办法所称的研究项目，包括教育部哲学社会科学研究项目，以及专项资金支持的研究基地、实验室、平台、智库等设立的研究项目。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第十条 </w:t>
      </w:r>
      <w:r>
        <w:rPr>
          <w:rFonts w:hint="eastAsia" w:ascii="仿宋_GB2312" w:hAnsi="Verdana" w:eastAsia="仿宋_GB2312" w:cs="仿宋_GB2312"/>
          <w:i w:val="0"/>
          <w:iCs w:val="0"/>
          <w:caps w:val="0"/>
          <w:color w:val="000000"/>
          <w:spacing w:val="0"/>
          <w:sz w:val="32"/>
          <w:szCs w:val="32"/>
          <w:shd w:val="clear" w:fill="FFFFFF"/>
        </w:rPr>
        <w:t>直接费用是指在项目研究过程中发生的与之直接相关的费用，包括：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（一）业务费：指在项目研究过程中购置图书、收集资料、复印翻拍、检索文献、采集数据、翻译资料、印刷出版、会议、差旅、国际合作与交流等费用，以及其他相关支出。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（二）劳务费：指在项目实施过程中支付给参与研究的研究生、博士后、访问学者、聘用的研究人员、科研辅助人员等的劳务性费用，以及支付给临时聘请的咨询专家的费用等。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聘用人员的劳务费开支标准，参照当地社科研究从业人员平均工资水平，根据其在研究中承担的工作任务确定，其由单位缴纳的社会保险补助、住房公积金等纳入劳务费科目列支。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支付给临时聘请的咨询专家的费用，不得支付给参与本项目及所属课题研究和管理的相关人员，其管理按照国家有关规定执行。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（三）设备费：指在项目研究过程中购置设备和设备耗材、升级维护现有设备及租用外单位设备而发生的费用。应当合理购置设备，鼓励共享、租赁及对现有设备进行升级改造。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第十一条 </w:t>
      </w:r>
      <w:r>
        <w:rPr>
          <w:rFonts w:hint="eastAsia" w:ascii="仿宋_GB2312" w:hAnsi="Verdana" w:eastAsia="仿宋_GB2312" w:cs="仿宋_GB2312"/>
          <w:i w:val="0"/>
          <w:iCs w:val="0"/>
          <w:caps w:val="0"/>
          <w:color w:val="000000"/>
          <w:spacing w:val="0"/>
          <w:sz w:val="32"/>
          <w:szCs w:val="32"/>
          <w:shd w:val="clear" w:fill="FFFFFF"/>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第十二条 </w:t>
      </w:r>
      <w:r>
        <w:rPr>
          <w:rFonts w:hint="eastAsia" w:ascii="仿宋_GB2312" w:hAnsi="Verdana" w:eastAsia="仿宋_GB2312" w:cs="仿宋_GB2312"/>
          <w:i w:val="0"/>
          <w:iCs w:val="0"/>
          <w:caps w:val="0"/>
          <w:color w:val="000000"/>
          <w:spacing w:val="0"/>
          <w:sz w:val="32"/>
          <w:szCs w:val="32"/>
          <w:shd w:val="clear" w:fill="FFFFFF"/>
        </w:rPr>
        <w:t>预算制项目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跨单位合作的科研活动，确需外拨资金的，应当在预算中单独列示，并对合作研究单位资质、承担的研究任务、外拨资金额度等进行说明。间接费用外拨金额，由项目承担高校和合作研究单位协商确定。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第十三条 </w:t>
      </w:r>
      <w:r>
        <w:rPr>
          <w:rFonts w:hint="eastAsia" w:ascii="仿宋_GB2312" w:hAnsi="Verdana" w:eastAsia="仿宋_GB2312" w:cs="仿宋_GB2312"/>
          <w:i w:val="0"/>
          <w:iCs w:val="0"/>
          <w:caps w:val="0"/>
          <w:color w:val="000000"/>
          <w:spacing w:val="0"/>
          <w:sz w:val="32"/>
          <w:szCs w:val="32"/>
          <w:shd w:val="clear" w:fill="FFFFFF"/>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第十四条 </w:t>
      </w:r>
      <w:r>
        <w:rPr>
          <w:rFonts w:hint="eastAsia" w:ascii="仿宋_GB2312" w:hAnsi="Verdana" w:eastAsia="仿宋_GB2312" w:cs="仿宋_GB2312"/>
          <w:i w:val="0"/>
          <w:iCs w:val="0"/>
          <w:caps w:val="0"/>
          <w:color w:val="000000"/>
          <w:spacing w:val="0"/>
          <w:sz w:val="32"/>
          <w:szCs w:val="32"/>
          <w:shd w:val="clear" w:fill="FFFFFF"/>
        </w:rPr>
        <w:t>间接费用按照不超过项目资助总额的一定比例核定，具体如下：50万元及以下部分为40%；超过50万元至500万元的部分为30%；超过500万元的部分为20%。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对纯理论基础研究项目，间接费用比例50万元及以下部分可提高到不超过60%；超过50万元至500万元的部分可提高到不超过50%；超过500万元的部分可提高到不超过40%，具体范围由教育部商财政部确定。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第十五条 </w:t>
      </w:r>
      <w:r>
        <w:rPr>
          <w:rFonts w:hint="eastAsia" w:ascii="仿宋_GB2312" w:hAnsi="Verdana" w:eastAsia="仿宋_GB2312" w:cs="仿宋_GB2312"/>
          <w:i w:val="0"/>
          <w:iCs w:val="0"/>
          <w:caps w:val="0"/>
          <w:color w:val="000000"/>
          <w:spacing w:val="0"/>
          <w:sz w:val="32"/>
          <w:szCs w:val="32"/>
          <w:shd w:val="clear" w:fill="FFFFFF"/>
        </w:rPr>
        <w:t>教育部根据繁荣计划建设目标和建设内容，组织专家重点对预算申请的目标相关性、政策相符性、经济合理性进行评审。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第十六条 </w:t>
      </w:r>
      <w:r>
        <w:rPr>
          <w:rFonts w:hint="eastAsia" w:ascii="仿宋_GB2312" w:hAnsi="Verdana" w:eastAsia="仿宋_GB2312" w:cs="仿宋_GB2312"/>
          <w:i w:val="0"/>
          <w:iCs w:val="0"/>
          <w:caps w:val="0"/>
          <w:color w:val="000000"/>
          <w:spacing w:val="0"/>
          <w:sz w:val="32"/>
          <w:szCs w:val="32"/>
          <w:shd w:val="clear" w:fill="FFFFFF"/>
        </w:rPr>
        <w:t>项目负责人应当严格执行批准后的预算。预算有以下情况确需调剂的，由项目承担高校审批或备案。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（一）原预算未列示外拨资金，需要增列的；外拨资金如需调剂的，由项目负责人根据科研活动的实际需要提出申请，报项目承担高校审批。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（二）设备费预算如需调剂的，由项目负责人根据科研活动的实际需要提出申请，报项目承担高校审批。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（三）业务费、劳务费预算如需调剂的，由项目负责人根据科研活动实际需要自主安排，并报项目承担高校备案。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（四）间接费用预算总额不得调增，项目负责人与项目承担高校协商一致后可调减用于直接费用。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项目承担高校应当根据科研活动的实际需求及时办理调剂手续。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第十七条 </w:t>
      </w:r>
      <w:r>
        <w:rPr>
          <w:rFonts w:hint="eastAsia" w:ascii="仿宋_GB2312" w:hAnsi="Verdana" w:eastAsia="仿宋_GB2312" w:cs="仿宋_GB2312"/>
          <w:i w:val="0"/>
          <w:iCs w:val="0"/>
          <w:caps w:val="0"/>
          <w:color w:val="000000"/>
          <w:spacing w:val="0"/>
          <w:sz w:val="32"/>
          <w:szCs w:val="32"/>
          <w:shd w:val="clear" w:fill="FFFFFF"/>
        </w:rPr>
        <w:t>包干制项目实施范围由教育部商财政部确定。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第十八条 </w:t>
      </w:r>
      <w:r>
        <w:rPr>
          <w:rFonts w:hint="eastAsia" w:ascii="仿宋_GB2312" w:hAnsi="Verdana" w:eastAsia="仿宋_GB2312" w:cs="仿宋_GB2312"/>
          <w:i w:val="0"/>
          <w:iCs w:val="0"/>
          <w:caps w:val="0"/>
          <w:color w:val="000000"/>
          <w:spacing w:val="0"/>
          <w:sz w:val="32"/>
          <w:szCs w:val="32"/>
          <w:shd w:val="clear" w:fill="FFFFFF"/>
        </w:rPr>
        <w:t>项目承担高校应当制定项目资金包干制管理规定。管理规定应当包括资金使用范围和标准、各方责任、违规惩戒措施等内容，报教育部备案。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第十九条 </w:t>
      </w:r>
      <w:r>
        <w:rPr>
          <w:rFonts w:hint="eastAsia" w:ascii="仿宋_GB2312" w:hAnsi="Verdana" w:eastAsia="仿宋_GB2312" w:cs="仿宋_GB2312"/>
          <w:i w:val="0"/>
          <w:iCs w:val="0"/>
          <w:caps w:val="0"/>
          <w:color w:val="000000"/>
          <w:spacing w:val="0"/>
          <w:sz w:val="32"/>
          <w:szCs w:val="32"/>
          <w:shd w:val="clear" w:fill="FFFFFF"/>
        </w:rPr>
        <w:t>包干制项目负责人应在承诺遵守科研伦理道德和学风诚信要求、经费全部用于与项目研究工作相关支出的基础上，本着科学、合理、规范、有效的原则使用资金，无需编制预算。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第二十条 </w:t>
      </w:r>
      <w:r>
        <w:rPr>
          <w:rFonts w:hint="eastAsia" w:ascii="仿宋_GB2312" w:hAnsi="Verdana" w:eastAsia="仿宋_GB2312" w:cs="仿宋_GB2312"/>
          <w:i w:val="0"/>
          <w:iCs w:val="0"/>
          <w:caps w:val="0"/>
          <w:color w:val="000000"/>
          <w:spacing w:val="0"/>
          <w:sz w:val="32"/>
          <w:szCs w:val="32"/>
          <w:shd w:val="clear" w:fill="FFFFFF"/>
        </w:rPr>
        <w:t>包干制项目资金由项目负责人自主决定使用，对于本办法第十条、第十一条规定的开支范围内的资金由项目负责人自主决定使用，无需履行调剂程序。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对于项目承担高校为研究提供的房屋占用，日常水、电、气、暖等消耗及开展有关管理工作的补助支出，由项目承担高校根据实际管理需要，在充分征求项目负责人意见基础上确定合理标准。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对于激励科研人员的绩效支出，由项目负责人根据实际科研需要和相关薪酬标准自主确定，项目承担高校按照工资制度进行管理。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center"/>
        <w:rPr>
          <w:rFonts w:hint="default"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第三章  非研究项目资金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center"/>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第二十一条 </w:t>
      </w:r>
      <w:r>
        <w:rPr>
          <w:rFonts w:hint="eastAsia" w:ascii="仿宋_GB2312" w:hAnsi="Verdana" w:eastAsia="仿宋_GB2312" w:cs="仿宋_GB2312"/>
          <w:i w:val="0"/>
          <w:iCs w:val="0"/>
          <w:caps w:val="0"/>
          <w:color w:val="000000"/>
          <w:spacing w:val="0"/>
          <w:sz w:val="32"/>
          <w:szCs w:val="32"/>
          <w:shd w:val="clear" w:fill="FFFFFF"/>
        </w:rPr>
        <w:t>非研究项目资金支出是指支持研究基地、实验室、平台、智库、团队等建设费用。非研究项目资金按照“稳定支持、长效机制，遵循规律、引导带动，绩效导向、动态调整”的原则进行资助和管理，具体开支范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（一）人员聘用经费：是指支付给聘用的编制以外、不开支财政补助人员经费的专职研究人员、管理人员和国外访问学者的费用。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（二）能力建设经费：是指用于改善科研条件，推进全方位能力建设的经费，主要包括开展的国内学术交流、国情调研、信息采集、成果转化、联合研究等费用。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（四）奖励经费：是指根据研究人员实际贡献安排的奖励性费用，安排奖励性费用应加大对优秀人才和成果的奖励力度。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开支奖励经费的情况包括：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1.坚持服务国家目标与鼓励自由探索相结合，在思想理论上有重大创新、传承文明上有突出贡献、学科建设上有显著推动；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2.围绕国家重大战略，在解决经济社会发展重大问题上有重要贡献，为党和政府提供决策服务上有重要建树；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3.阐释中国立场、发出中国声音，产生较大国际影响；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4.在方法创新上有重大突破；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5.教育部认定在其他方面作出突出贡献的。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第二十二条</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仿宋_GB2312" w:hAnsi="Verdana" w:eastAsia="仿宋_GB2312" w:cs="仿宋_GB2312"/>
          <w:i w:val="0"/>
          <w:iCs w:val="0"/>
          <w:caps w:val="0"/>
          <w:color w:val="000000"/>
          <w:spacing w:val="0"/>
          <w:sz w:val="32"/>
          <w:szCs w:val="32"/>
          <w:shd w:val="clear" w:fill="FFFFFF"/>
        </w:rPr>
        <w:t>对于非研究项目资金中国家已规定开支标准的科目，应当严格按照国家有关规定执行；对于国家未规定开支标准的科目，各类非研究项目应当建立健全经费开支标准和管理制度。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第二十三条</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仿宋_GB2312" w:hAnsi="Verdana" w:eastAsia="仿宋_GB2312" w:cs="仿宋_GB2312"/>
          <w:i w:val="0"/>
          <w:iCs w:val="0"/>
          <w:caps w:val="0"/>
          <w:color w:val="000000"/>
          <w:spacing w:val="0"/>
          <w:sz w:val="32"/>
          <w:szCs w:val="32"/>
          <w:shd w:val="clear" w:fill="FFFFFF"/>
        </w:rPr>
        <w:t>非研究项目资金不得用于本办法第二十一条开支范围外的行政事业单位人员经费和公用经费。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center"/>
        <w:rPr>
          <w:rFonts w:hint="default"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第四章  管理资金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第二十四条</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仿宋_GB2312" w:hAnsi="Verdana" w:eastAsia="仿宋_GB2312" w:cs="仿宋_GB2312"/>
          <w:i w:val="0"/>
          <w:iCs w:val="0"/>
          <w:caps w:val="0"/>
          <w:color w:val="000000"/>
          <w:spacing w:val="0"/>
          <w:sz w:val="32"/>
          <w:szCs w:val="32"/>
          <w:shd w:val="clear" w:fill="FFFFFF"/>
        </w:rPr>
        <w:t>管理资金支出是指教育部在实施繁荣计划过程中发生的工作所需费用，包括组织、协调、评审、鉴定和奖励费用等。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第二十五条</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仿宋_GB2312" w:hAnsi="Verdana" w:eastAsia="仿宋_GB2312" w:cs="仿宋_GB2312"/>
          <w:i w:val="0"/>
          <w:iCs w:val="0"/>
          <w:caps w:val="0"/>
          <w:color w:val="000000"/>
          <w:spacing w:val="0"/>
          <w:sz w:val="32"/>
          <w:szCs w:val="32"/>
          <w:shd w:val="clear" w:fill="FFFFFF"/>
        </w:rPr>
        <w:t>按规定对“教育部科学研究优秀成果奖（人文社会科学）”、有价值高水平的咨政成果进行奖励。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第二十六条</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仿宋_GB2312" w:hAnsi="Verdana" w:eastAsia="仿宋_GB2312" w:cs="仿宋_GB2312"/>
          <w:i w:val="0"/>
          <w:iCs w:val="0"/>
          <w:caps w:val="0"/>
          <w:color w:val="000000"/>
          <w:spacing w:val="0"/>
          <w:sz w:val="32"/>
          <w:szCs w:val="32"/>
          <w:shd w:val="clear" w:fill="FFFFFF"/>
        </w:rPr>
        <w:t>管理资金在实施过程中，按照“管、办、评”分离原则，推进政府购买服务，规范向社会力量购买服务的程序和方式。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default" w:ascii="仿宋_GB2312" w:hAnsi="Verdana" w:eastAsia="仿宋_GB2312" w:cs="仿宋_GB2312"/>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center"/>
        <w:rPr>
          <w:rFonts w:hint="default"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第五章  预算执行与决算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Verdana" w:hAnsi="Verdana" w:cs="Verdana"/>
          <w:i w:val="0"/>
          <w:iCs w:val="0"/>
          <w:caps w:val="0"/>
          <w:color w:val="000000"/>
          <w:spacing w:val="0"/>
          <w:sz w:val="12"/>
          <w:szCs w:val="12"/>
        </w:rPr>
      </w:pPr>
      <w:r>
        <w:rPr>
          <w:rFonts w:hint="eastAsia" w:ascii="黑体" w:hAnsi="宋体" w:eastAsia="黑体" w:cs="黑体"/>
          <w:i w:val="0"/>
          <w:iCs w:val="0"/>
          <w:caps w:val="0"/>
          <w:color w:val="000000"/>
          <w:spacing w:val="0"/>
          <w:sz w:val="32"/>
          <w:szCs w:val="32"/>
          <w:shd w:val="clear" w:fill="FFFFFF"/>
        </w:rPr>
        <w:t>第二十七条 </w:t>
      </w:r>
      <w:r>
        <w:rPr>
          <w:rFonts w:hint="eastAsia" w:ascii="仿宋_GB2312" w:hAnsi="Verdana" w:eastAsia="仿宋_GB2312" w:cs="仿宋_GB2312"/>
          <w:i w:val="0"/>
          <w:iCs w:val="0"/>
          <w:caps w:val="0"/>
          <w:color w:val="000000"/>
          <w:spacing w:val="0"/>
          <w:sz w:val="32"/>
          <w:szCs w:val="32"/>
          <w:shd w:val="clear" w:fill="FFFFFF"/>
        </w:rPr>
        <w:t>教育部根据部门预算编制要求，将繁荣计划专项资金三年支出规划和年度预算建议数报送财政部，财政部按部门预算程序审核后批复年度预算。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第二十八条 </w:t>
      </w:r>
      <w:r>
        <w:rPr>
          <w:rFonts w:hint="eastAsia" w:ascii="仿宋_GB2312" w:hAnsi="Verdana" w:eastAsia="仿宋_GB2312" w:cs="仿宋_GB2312"/>
          <w:i w:val="0"/>
          <w:iCs w:val="0"/>
          <w:caps w:val="0"/>
          <w:color w:val="000000"/>
          <w:spacing w:val="0"/>
          <w:sz w:val="32"/>
          <w:szCs w:val="32"/>
          <w:shd w:val="clear" w:fill="FFFFFF"/>
        </w:rPr>
        <w:t>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第二十九条 </w:t>
      </w:r>
      <w:r>
        <w:rPr>
          <w:rFonts w:hint="eastAsia" w:ascii="仿宋_GB2312" w:hAnsi="Verdana" w:eastAsia="仿宋_GB2312" w:cs="仿宋_GB2312"/>
          <w:i w:val="0"/>
          <w:iCs w:val="0"/>
          <w:caps w:val="0"/>
          <w:color w:val="000000"/>
          <w:spacing w:val="0"/>
          <w:sz w:val="32"/>
          <w:szCs w:val="32"/>
          <w:shd w:val="clear" w:fill="FFFFFF"/>
        </w:rPr>
        <w:t>项目承担高校应当将资金纳入单位财务部门统一管理，单独核算，专款专用。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项目承担高校要根据项目负责人意见，及时将外拨资金拨付至项目合作单位，并加强对外拨资金的监督管理。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项目负责人应当结合科研活动需要，科学合理安排资金支出进度。项目承担高校应当关注资金执行进度，有效提高资金使用效益。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第三十条 </w:t>
      </w:r>
      <w:r>
        <w:rPr>
          <w:rFonts w:hint="eastAsia" w:ascii="仿宋_GB2312" w:hAnsi="Verdana" w:eastAsia="仿宋_GB2312" w:cs="仿宋_GB2312"/>
          <w:i w:val="0"/>
          <w:iCs w:val="0"/>
          <w:caps w:val="0"/>
          <w:color w:val="000000"/>
          <w:spacing w:val="0"/>
          <w:sz w:val="32"/>
          <w:szCs w:val="32"/>
          <w:shd w:val="clear" w:fill="FFFFFF"/>
        </w:rPr>
        <w:t>繁荣计划专项资金按照国库集中支付制度规定拨付。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第三十一条 </w:t>
      </w:r>
      <w:r>
        <w:rPr>
          <w:rFonts w:hint="eastAsia" w:ascii="仿宋_GB2312" w:hAnsi="Verdana" w:eastAsia="仿宋_GB2312" w:cs="仿宋_GB2312"/>
          <w:i w:val="0"/>
          <w:iCs w:val="0"/>
          <w:caps w:val="0"/>
          <w:color w:val="000000"/>
          <w:spacing w:val="0"/>
          <w:sz w:val="32"/>
          <w:szCs w:val="32"/>
          <w:shd w:val="clear" w:fill="FFFFFF"/>
        </w:rPr>
        <w:t>繁荣计划专项资金不得用于租赁办公场所和基础设施建设，不得用于开支各种罚款、捐赠、赞助、投资、偿还债务等，不得用于与项目工作无关的支出，严禁以任何方式牟取私利。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第三十二条 </w:t>
      </w:r>
      <w:r>
        <w:rPr>
          <w:rFonts w:hint="eastAsia" w:ascii="仿宋_GB2312" w:hAnsi="Verdana" w:eastAsia="仿宋_GB2312" w:cs="仿宋_GB2312"/>
          <w:i w:val="0"/>
          <w:iCs w:val="0"/>
          <w:caps w:val="0"/>
          <w:color w:val="000000"/>
          <w:spacing w:val="0"/>
          <w:sz w:val="32"/>
          <w:szCs w:val="32"/>
          <w:shd w:val="clear" w:fill="FFFFFF"/>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专项资金支出属于政府采购范围的，应当按照政府采购有关规定执行。对科研急需的设备和耗材采取特事特办、随到随办的采购机制。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第三十三条 </w:t>
      </w:r>
      <w:r>
        <w:rPr>
          <w:rFonts w:hint="eastAsia" w:ascii="仿宋_GB2312" w:hAnsi="Verdana" w:eastAsia="仿宋_GB2312" w:cs="仿宋_GB2312"/>
          <w:i w:val="0"/>
          <w:iCs w:val="0"/>
          <w:caps w:val="0"/>
          <w:color w:val="000000"/>
          <w:spacing w:val="0"/>
          <w:sz w:val="32"/>
          <w:szCs w:val="32"/>
          <w:shd w:val="clear" w:fill="FFFFFF"/>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第三十四条 </w:t>
      </w:r>
      <w:r>
        <w:rPr>
          <w:rFonts w:hint="eastAsia" w:ascii="仿宋_GB2312" w:hAnsi="Verdana" w:eastAsia="仿宋_GB2312" w:cs="仿宋_GB2312"/>
          <w:i w:val="0"/>
          <w:iCs w:val="0"/>
          <w:caps w:val="0"/>
          <w:color w:val="000000"/>
          <w:spacing w:val="0"/>
          <w:sz w:val="32"/>
          <w:szCs w:val="32"/>
          <w:shd w:val="clear" w:fill="FFFFFF"/>
        </w:rPr>
        <w:t>凡使用繁荣计划专项资金形成的固定资产、无形资产等属于国有资产，应当按照国有资产管理的有关规定执行。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第三十五条 </w:t>
      </w:r>
      <w:r>
        <w:rPr>
          <w:rFonts w:hint="eastAsia" w:ascii="仿宋_GB2312" w:hAnsi="Verdana" w:eastAsia="仿宋_GB2312" w:cs="仿宋_GB2312"/>
          <w:i w:val="0"/>
          <w:iCs w:val="0"/>
          <w:caps w:val="0"/>
          <w:color w:val="000000"/>
          <w:spacing w:val="0"/>
          <w:sz w:val="32"/>
          <w:szCs w:val="32"/>
          <w:shd w:val="clear" w:fill="FFFFFF"/>
        </w:rPr>
        <w:t>项目承担高校要切实强化法人责任，严格按照国家有关规定和本办法规定，指导项目负责人科学合理编制预算，规范预算调剂程序，加强对外拨资金、间接费用、结转结余资金等的审核和管理。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第三十六条 </w:t>
      </w:r>
      <w:r>
        <w:rPr>
          <w:rFonts w:hint="eastAsia" w:ascii="仿宋_GB2312" w:hAnsi="Verdana" w:eastAsia="仿宋_GB2312" w:cs="仿宋_GB2312"/>
          <w:i w:val="0"/>
          <w:iCs w:val="0"/>
          <w:caps w:val="0"/>
          <w:color w:val="000000"/>
          <w:spacing w:val="0"/>
          <w:sz w:val="32"/>
          <w:szCs w:val="32"/>
          <w:shd w:val="clear" w:fill="FFFFFF"/>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第三十七条 </w:t>
      </w:r>
      <w:r>
        <w:rPr>
          <w:rFonts w:hint="eastAsia" w:ascii="仿宋_GB2312" w:hAnsi="Verdana" w:eastAsia="仿宋_GB2312" w:cs="仿宋_GB2312"/>
          <w:i w:val="0"/>
          <w:iCs w:val="0"/>
          <w:caps w:val="0"/>
          <w:color w:val="000000"/>
          <w:spacing w:val="0"/>
          <w:sz w:val="32"/>
          <w:szCs w:val="32"/>
          <w:shd w:val="clear" w:fill="FFFFFF"/>
        </w:rPr>
        <w:t>项目承担高校应当改进财务报销管理方式，充分利用信息化手段，推动项目经费数字化、无纸化报销，建立符合科研实际需要的内部报销机制。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第三十八条 </w:t>
      </w:r>
      <w:r>
        <w:rPr>
          <w:rFonts w:hint="eastAsia" w:ascii="仿宋_GB2312" w:hAnsi="Verdana" w:eastAsia="仿宋_GB2312" w:cs="仿宋_GB2312"/>
          <w:i w:val="0"/>
          <w:iCs w:val="0"/>
          <w:caps w:val="0"/>
          <w:color w:val="000000"/>
          <w:spacing w:val="0"/>
          <w:sz w:val="32"/>
          <w:szCs w:val="32"/>
          <w:shd w:val="clear" w:fill="FFFFFF"/>
        </w:rPr>
        <w:t>项目承担高校应将繁荣计划专项资金收支情况纳入单位年度决算统一编报。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第三十九条 </w:t>
      </w:r>
      <w:r>
        <w:rPr>
          <w:rFonts w:hint="eastAsia" w:ascii="仿宋_GB2312" w:hAnsi="Verdana" w:eastAsia="仿宋_GB2312" w:cs="仿宋_GB2312"/>
          <w:i w:val="0"/>
          <w:iCs w:val="0"/>
          <w:caps w:val="0"/>
          <w:color w:val="000000"/>
          <w:spacing w:val="0"/>
          <w:sz w:val="32"/>
          <w:szCs w:val="32"/>
          <w:shd w:val="clear" w:fill="FFFFFF"/>
        </w:rPr>
        <w:t>完成研究后，项目负责人应当按照学校财务规定清理账目与资产，据实编报决算，并附财务部门审核确认的资金收支明细账，与结项验收材料一并报送教育部。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有外拨资金的项目，外拨资金决算经合作研究单位财务、审计部门审核并签署意见后，由项目负责人汇总编制项目资金决算。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第四十条 </w:t>
      </w:r>
      <w:r>
        <w:rPr>
          <w:rFonts w:hint="eastAsia" w:ascii="仿宋_GB2312" w:hAnsi="Verdana" w:eastAsia="仿宋_GB2312" w:cs="仿宋_GB2312"/>
          <w:i w:val="0"/>
          <w:iCs w:val="0"/>
          <w:caps w:val="0"/>
          <w:color w:val="000000"/>
          <w:spacing w:val="0"/>
          <w:sz w:val="32"/>
          <w:szCs w:val="32"/>
          <w:shd w:val="clear" w:fill="FFFFFF"/>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对于非研究项目资金和管理资金，按照财政部关于结转结余资金管理有关规定执行。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第四十一条 </w:t>
      </w:r>
      <w:r>
        <w:rPr>
          <w:rFonts w:hint="eastAsia" w:ascii="仿宋_GB2312" w:hAnsi="Verdana" w:eastAsia="仿宋_GB2312" w:cs="仿宋_GB2312"/>
          <w:i w:val="0"/>
          <w:iCs w:val="0"/>
          <w:caps w:val="0"/>
          <w:color w:val="000000"/>
          <w:spacing w:val="0"/>
          <w:sz w:val="21"/>
          <w:szCs w:val="21"/>
          <w:bdr w:val="none" w:color="auto" w:sz="0" w:space="0"/>
          <w:shd w:val="clear" w:fill="FFFFFF"/>
        </w:rPr>
        <w:t>对</w:t>
      </w:r>
      <w:r>
        <w:rPr>
          <w:rFonts w:hint="eastAsia" w:ascii="仿宋_GB2312" w:hAnsi="Verdana" w:eastAsia="仿宋_GB2312" w:cs="仿宋_GB2312"/>
          <w:i w:val="0"/>
          <w:iCs w:val="0"/>
          <w:caps w:val="0"/>
          <w:color w:val="000000"/>
          <w:spacing w:val="0"/>
          <w:sz w:val="32"/>
          <w:szCs w:val="32"/>
          <w:shd w:val="clear" w:fill="FFFFFF"/>
        </w:rPr>
        <w:t>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项目承担高校发生变更的，原承担高校应当及时向新承担高校转拨项目资金。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center"/>
        <w:rPr>
          <w:rFonts w:hint="default"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第六章  绩效管理与监督检查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第四十二条 </w:t>
      </w:r>
      <w:r>
        <w:rPr>
          <w:rFonts w:hint="eastAsia" w:ascii="仿宋_GB2312" w:hAnsi="Verdana" w:eastAsia="仿宋_GB2312" w:cs="仿宋_GB2312"/>
          <w:i w:val="0"/>
          <w:iCs w:val="0"/>
          <w:caps w:val="0"/>
          <w:color w:val="000000"/>
          <w:spacing w:val="0"/>
          <w:sz w:val="32"/>
          <w:szCs w:val="32"/>
          <w:shd w:val="clear" w:fill="FFFFFF"/>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项目承担高校要切实加强绩效管理，引导科研资源向优秀人才和团队倾斜，提高科研经费使用效益。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第四十三条 </w:t>
      </w:r>
      <w:r>
        <w:rPr>
          <w:rFonts w:hint="eastAsia" w:ascii="仿宋_GB2312" w:hAnsi="Verdana" w:eastAsia="仿宋_GB2312" w:cs="仿宋_GB2312"/>
          <w:i w:val="0"/>
          <w:iCs w:val="0"/>
          <w:caps w:val="0"/>
          <w:color w:val="000000"/>
          <w:spacing w:val="0"/>
          <w:sz w:val="32"/>
          <w:szCs w:val="32"/>
          <w:shd w:val="clear" w:fill="FFFFFF"/>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第四十四条 </w:t>
      </w:r>
      <w:r>
        <w:rPr>
          <w:rFonts w:hint="eastAsia" w:ascii="仿宋_GB2312" w:hAnsi="Verdana" w:eastAsia="仿宋_GB2312" w:cs="仿宋_GB2312"/>
          <w:i w:val="0"/>
          <w:iCs w:val="0"/>
          <w:caps w:val="0"/>
          <w:color w:val="000000"/>
          <w:spacing w:val="0"/>
          <w:sz w:val="32"/>
          <w:szCs w:val="32"/>
          <w:shd w:val="clear" w:fill="FFFFFF"/>
        </w:rPr>
        <w:t>项目承担高校应当建立信息公开机制，在学校内部主动公开预算、预算调剂、决算、设备购置、外拨资金、劳务费发放、间接费用、结余资金使用等情况，自觉接受监督。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第四十五条 </w:t>
      </w:r>
      <w:r>
        <w:rPr>
          <w:rFonts w:hint="eastAsia" w:ascii="仿宋_GB2312" w:hAnsi="Verdana" w:eastAsia="仿宋_GB2312" w:cs="仿宋_GB2312"/>
          <w:i w:val="0"/>
          <w:iCs w:val="0"/>
          <w:caps w:val="0"/>
          <w:color w:val="000000"/>
          <w:spacing w:val="0"/>
          <w:sz w:val="32"/>
          <w:szCs w:val="32"/>
          <w:shd w:val="clear" w:fill="FFFFFF"/>
        </w:rPr>
        <w:t>项目承担高校要动态监管经费使用并实时预警提醒。对项目承担高校和科研人员在科研经费管理使用过程中出现的失信情况，纳入信用记录管理，对严重失信行为实行追责和惩戒。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第四十六条 </w:t>
      </w:r>
      <w:r>
        <w:rPr>
          <w:rFonts w:hint="eastAsia" w:ascii="仿宋_GB2312" w:hAnsi="Verdana" w:eastAsia="仿宋_GB2312" w:cs="仿宋_GB2312"/>
          <w:i w:val="0"/>
          <w:iCs w:val="0"/>
          <w:caps w:val="0"/>
          <w:color w:val="000000"/>
          <w:spacing w:val="0"/>
          <w:sz w:val="32"/>
          <w:szCs w:val="32"/>
          <w:shd w:val="clear" w:fill="FFFFFF"/>
        </w:rPr>
        <w:t>项目承担高校和项目负责人应当依法依规管理使用专项资金，不得存在以下行为：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（一） 虚假编报项目预算；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（二） 未对繁荣计划专项资金进行单独核算；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（三） 列支与项目任务无关的支出；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（四） 违反规定转拨项目资金；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（五） 通过虚假合同、虚假票据、虚构事项、虚报人员等弄虚作假方式，转移、套取、报销项目资金；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（六） 截留、挤占、挪用项目资金；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（七） 设置账外账、随意调账变动支出、随意修改记账凭证、提供虚假财务会计资料等；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（八） 在使用项目资金中以任何方式列支应由个人负担的有关费用和利用项目资金支付各种罚款、捐款、赞助、投资、偿还债务等；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（九） 其他违反国家财经纪律的行为。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第四十七条 </w:t>
      </w:r>
      <w:r>
        <w:rPr>
          <w:rFonts w:hint="eastAsia" w:ascii="仿宋_GB2312" w:hAnsi="Verdana" w:eastAsia="仿宋_GB2312" w:cs="仿宋_GB2312"/>
          <w:i w:val="0"/>
          <w:iCs w:val="0"/>
          <w:caps w:val="0"/>
          <w:color w:val="000000"/>
          <w:spacing w:val="0"/>
          <w:sz w:val="32"/>
          <w:szCs w:val="32"/>
          <w:shd w:val="clear" w:fill="FFFFFF"/>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center"/>
        <w:rPr>
          <w:rFonts w:hint="default"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第四十八条 </w:t>
      </w:r>
      <w:r>
        <w:rPr>
          <w:rFonts w:hint="eastAsia" w:ascii="仿宋_GB2312" w:hAnsi="Verdana" w:eastAsia="仿宋_GB2312" w:cs="仿宋_GB2312"/>
          <w:i w:val="0"/>
          <w:iCs w:val="0"/>
          <w:caps w:val="0"/>
          <w:color w:val="000000"/>
          <w:spacing w:val="0"/>
          <w:sz w:val="32"/>
          <w:szCs w:val="32"/>
          <w:shd w:val="clear" w:fill="FFFFFF"/>
        </w:rPr>
        <w:t>本办法由财政部、教育部负责解释。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第四十九条 </w:t>
      </w:r>
      <w:r>
        <w:rPr>
          <w:rFonts w:hint="eastAsia" w:ascii="仿宋_GB2312" w:hAnsi="Verdana" w:eastAsia="仿宋_GB2312" w:cs="仿宋_GB2312"/>
          <w:i w:val="0"/>
          <w:iCs w:val="0"/>
          <w:caps w:val="0"/>
          <w:color w:val="000000"/>
          <w:spacing w:val="0"/>
          <w:sz w:val="32"/>
          <w:szCs w:val="32"/>
          <w:shd w:val="clear" w:fill="FFFFFF"/>
        </w:rPr>
        <w:t>本办法自颁布之日起施行。2016年11月24日财政部、教育部印发的《高等学校哲学社会科学繁荣计划专项资金管理办法》（财教〔2016〕317号）同时废止。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default" w:ascii="仿宋_GB2312" w:hAnsi="Verdana" w:eastAsia="仿宋_GB2312" w:cs="仿宋_GB2312"/>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bdr w:val="none" w:color="auto" w:sz="0" w:space="0"/>
          <w:shd w:val="clear" w:fill="FFFFFF"/>
        </w:rPr>
        <w:t>第五十条</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仿宋_GB2312" w:hAnsi="Verdana" w:eastAsia="仿宋_GB2312" w:cs="仿宋_GB2312"/>
          <w:i w:val="0"/>
          <w:iCs w:val="0"/>
          <w:caps w:val="0"/>
          <w:color w:val="000000"/>
          <w:spacing w:val="0"/>
          <w:sz w:val="32"/>
          <w:szCs w:val="32"/>
          <w:shd w:val="clear" w:fill="FFFFFF"/>
        </w:rPr>
        <w:t>各项目承担高校要依据本办法修订完善内部相关管理办法。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left"/>
        <w:rPr>
          <w:rFonts w:hint="eastAsia" w:ascii="仿宋_GB2312" w:hAnsi="Verdana" w:eastAsia="仿宋_GB2312" w:cs="仿宋_GB2312"/>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WYzMzI5Zjk5ZDFlMGU5ODFjMjkxMWE4NWM0ZjkifQ=="/>
  </w:docVars>
  <w:rsids>
    <w:rsidRoot w:val="029F1A3F"/>
    <w:rsid w:val="029F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2023-11-03T08:46:00Z</dcterms:created>
  <dc:creator>✨</dc:creator>
  <cp:lastModifiedBy>✨</cp:lastModifiedBy>
  <dcterms:modified xsi:type="dcterms:W3CDTF">2023-11-03T08:58:35Z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37A9AD936E464F01B9D384BF94C26498_11</vt:lpwstr>
  </property>
</Properties>
</file>