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DEB6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/>
        <w:jc w:val="both"/>
        <w:rPr>
          <w:rFonts w:hint="default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</w:t>
      </w:r>
      <w:bookmarkStart w:id="2" w:name="_GoBack"/>
      <w:bookmarkEnd w:id="2"/>
    </w:p>
    <w:p w14:paraId="1C7EA8A7">
      <w:pPr>
        <w:pStyle w:val="2"/>
        <w:rPr>
          <w:rFonts w:hint="eastAsia"/>
        </w:rPr>
      </w:pPr>
    </w:p>
    <w:p w14:paraId="68EF458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年自治区科技成果转化示范专项</w:t>
      </w:r>
      <w:r>
        <w:rPr>
          <w:rFonts w:hint="eastAsia" w:ascii="方正小标宋_GBK" w:hAnsi="方正小标宋_GBK" w:eastAsia="方正小标宋_GBK" w:cs="方正小标宋_GBK"/>
          <w:bCs/>
          <w:color w:val="auto"/>
          <w:sz w:val="44"/>
          <w:szCs w:val="44"/>
        </w:rPr>
        <w:t>—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科技特派员农村科技创业行动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计划</w:t>
      </w:r>
    </w:p>
    <w:p w14:paraId="5599D3CA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项目申报指南</w:t>
      </w:r>
    </w:p>
    <w:p w14:paraId="38A1C877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/>
        <w:jc w:val="center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</w:p>
    <w:p w14:paraId="01FF340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进一步激发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广大科技特派员服务“三农”积极性，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推进农业科技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力量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深入基层一线开展服务，有效运用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科技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手段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支撑农业增效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农民增收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及民生改善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加快科技成果大面积推广应用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科技助力乡村全面振兴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现启动2025年度自治区科技成果转化示范专项—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科技特派员农村科技创业行动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计划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项目申报工作。</w:t>
      </w:r>
    </w:p>
    <w:p w14:paraId="3BD621F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一、支持方向</w:t>
      </w:r>
    </w:p>
    <w:p w14:paraId="26EF674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firstLine="620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围绕自治区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粮食和食品加工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、棉花和纺织服装、绿色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畜产品和优质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果蔬产业集群建设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目标任务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，强化问题导向，聚焦产业科技需求，突出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科技特派员</w:t>
      </w:r>
      <w:r>
        <w:rPr>
          <w:rFonts w:ascii="方正仿宋_GBK" w:hAnsi="方正仿宋_GBK" w:eastAsia="方正仿宋_GBK" w:cs="方正仿宋_GBK"/>
          <w:color w:val="auto"/>
          <w:sz w:val="32"/>
          <w:szCs w:val="32"/>
        </w:rPr>
        <w:t>农业科技创新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服务</w:t>
      </w:r>
      <w:r>
        <w:rPr>
          <w:rFonts w:ascii="方正仿宋_GBK" w:hAnsi="方正仿宋_GBK" w:eastAsia="方正仿宋_GBK" w:cs="方正仿宋_GBK"/>
          <w:color w:val="auto"/>
          <w:sz w:val="32"/>
          <w:szCs w:val="32"/>
        </w:rPr>
        <w:t>、成果转化和推广服务三大核心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功能</w:t>
      </w:r>
      <w:r>
        <w:rPr>
          <w:rFonts w:ascii="方正仿宋_GBK" w:hAnsi="方正仿宋_GBK" w:eastAsia="方正仿宋_GBK" w:cs="方正仿宋_GBK"/>
          <w:color w:val="auto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以科技促进产业链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延伸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融合为重点，加快先进适用技术示范及推广，转化一批集成配套并具有良好市场前景的科技成果，培育一批拥有自主知识产权和自主品牌的经营主体，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加快产学研深度融合，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促进农业生产及发展方式转变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聚焦农业高质量发展，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重点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围绕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粮食、棉花等作物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优良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品种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推广、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优质畜产品生产</w:t>
      </w:r>
      <w:bookmarkStart w:id="0" w:name="OLE_LINK1"/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果品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提质增效</w:t>
      </w:r>
      <w:bookmarkEnd w:id="0"/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农产品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产地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加工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农机装备组装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农业节水示范以及农村人居环境改善等产业领域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加快科技创新及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成果转化，保障粮食和重要农产品稳定安全供给，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因地制宜发展新质生产力，加快传统农业向“高端、绿色、智能化”转变，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增强科技对乡村振兴的支撑能力，为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加快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农业强区建设贡献科技力量。</w:t>
      </w:r>
    </w:p>
    <w:p w14:paraId="23AB5C9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left="0" w:leftChars="0" w:firstLine="640" w:firstLineChars="200"/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auto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支持类型</w:t>
      </w:r>
    </w:p>
    <w:p w14:paraId="64544A65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项目支持类型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分为重点、服务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及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其他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类。</w:t>
      </w:r>
    </w:p>
    <w:p w14:paraId="24837C55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rPr>
          <w:rFonts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  <w:t>（一）重点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lang w:val="en-US" w:eastAsia="zh-CN"/>
        </w:rPr>
        <w:t>项目</w:t>
      </w:r>
    </w:p>
    <w:p w14:paraId="77F76E8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加快推进“一县一产业一科技特派员服务团”工作落实，支持</w:t>
      </w:r>
      <w:r>
        <w:rPr>
          <w:rFonts w:hint="eastAsia" w:ascii="方正仿宋_GBK" w:hAnsi="方正仿宋_GBK" w:eastAsia="方正仿宋_GBK" w:cs="方正仿宋_GBK"/>
          <w:b/>
          <w:bCs/>
          <w:color w:val="auto"/>
          <w:sz w:val="32"/>
          <w:szCs w:val="32"/>
          <w:lang w:val="en-US" w:eastAsia="zh-CN"/>
        </w:rPr>
        <w:t>科技特派员服务团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聚焦县域产业发展中存在的关键技术问题，加快先进适用技术的引进和转化应用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，培育一批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具有发展潜力的经营主体，开展全流程专业技术服务及高素质农民培训，优化县域农业科技人才队伍，助力当地农业特色支柱产业高质量发展。</w:t>
      </w:r>
    </w:p>
    <w:p w14:paraId="117206B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围绕县域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农业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产业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科技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发展需要，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在生产一线建立</w:t>
      </w:r>
      <w:r>
        <w:rPr>
          <w:rFonts w:hint="eastAsia" w:ascii="方正仿宋_GBK" w:hAnsi="方正仿宋_GBK" w:eastAsia="方正仿宋_GBK" w:cs="方正仿宋_GBK"/>
          <w:b/>
          <w:bCs/>
          <w:color w:val="auto"/>
          <w:sz w:val="32"/>
          <w:szCs w:val="32"/>
          <w:lang w:val="en-US" w:eastAsia="zh-CN"/>
        </w:rPr>
        <w:t>科技特派员实验示范站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，持续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引进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、转化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一批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农业领域科技创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新成果，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进行技术集成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组装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及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示范、推广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推动形成集约、高效、安全、持续的现代农业发展道路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进而吸引更多农户参与发展现代化大农业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</w:p>
    <w:p w14:paraId="0F9577A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szCs w:val="32"/>
        </w:rPr>
        <w:t>.</w:t>
      </w:r>
      <w:r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单个项目申请自治区财政科技经费支持额度不超过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万元。</w:t>
      </w:r>
    </w:p>
    <w:p w14:paraId="0539A294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  <w:t>）服务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lang w:val="en-US" w:eastAsia="zh-CN"/>
        </w:rPr>
        <w:t>项目</w:t>
      </w:r>
    </w:p>
    <w:p w14:paraId="4A34C96F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1.支持科技特派员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围绕基层一线农业生产、民生改善，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紧密结合当地特色</w:t>
      </w:r>
      <w:r>
        <w:rPr>
          <w:rFonts w:ascii="方正仿宋_GBK" w:hAnsi="方正仿宋_GBK" w:eastAsia="方正仿宋_GBK" w:cs="方正仿宋_GBK"/>
          <w:color w:val="auto"/>
          <w:sz w:val="32"/>
          <w:szCs w:val="32"/>
        </w:rPr>
        <w:t>优势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资源，开展新品种、新技术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新装备、新模式的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引进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技术推广。</w:t>
      </w:r>
    </w:p>
    <w:p w14:paraId="7E937A11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2.支持科技特派员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运用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云计算、大数据、物联网等“互联网+”现代农业技术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提升农业信息化管理水平、提高农作物产量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品质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与市场美誉度。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鼓励科技特派员依托特色农产品销售网络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平台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，发展农村电商、休闲观光农业等。</w:t>
      </w:r>
    </w:p>
    <w:p w14:paraId="25AC526A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.支持科技特派员宣传科学种养殖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及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加工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知识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开展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庭院经济、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电商营销、订单直销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等多样化经营理念培训指导，提升农民自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身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发展能力，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助力高素质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职业农民培养。</w:t>
      </w:r>
    </w:p>
    <w:p w14:paraId="32598C8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firstLine="616" w:firstLineChars="20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bookmarkStart w:id="1" w:name="OLE_LINK4"/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szCs w:val="32"/>
          <w:lang w:val="en-US" w:eastAsia="zh-CN"/>
        </w:rPr>
        <w:t>4.</w:t>
      </w:r>
      <w:r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单个项目申请自治区财政科技经费支持额度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不超过</w:t>
      </w: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szCs w:val="32"/>
        </w:rPr>
        <w:t>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元。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包干制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试点单位推荐申报项目无需填写经费预算书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</w:t>
      </w:r>
    </w:p>
    <w:bookmarkEnd w:id="1"/>
    <w:p w14:paraId="70BB42B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rPr>
          <w:rFonts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  <w:t>）其他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lang w:val="en-US" w:eastAsia="zh-CN"/>
        </w:rPr>
        <w:t>项目</w:t>
      </w:r>
    </w:p>
    <w:p w14:paraId="212D4511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结合各地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科技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特派员工作开展情况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，开展以创业发展思路、创业技能、实用技术、政策法规为主要内容的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科技特派员能力素质提升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培训。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支持开展专业性高、针对性强、需求迫切、覆盖有关产业全链条的生产技术、创业技能、发展思路专题培训。</w:t>
      </w:r>
    </w:p>
    <w:p w14:paraId="54A8085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开展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自治区科技特派员成果展示展销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打通科技成果转化“最后一公里”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。支持自治区科技特派员服务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管理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部门开展科技特派员成果的专题展览、交易洽谈和观摩推介活动。</w:t>
      </w:r>
    </w:p>
    <w:p w14:paraId="565C24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支持自治区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科技特派员管理服务平台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维护、升级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以及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bidi="ar"/>
        </w:rPr>
        <w:t>其他服务科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技特派员工作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支持官方媒介开设科技特派员专栏，宣传全区范围内的创新创业典型事迹。</w:t>
      </w:r>
    </w:p>
    <w:p w14:paraId="3EB2E96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firstLine="616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szCs w:val="32"/>
          <w:lang w:val="en-US" w:eastAsia="zh-CN"/>
        </w:rPr>
        <w:t>4.</w:t>
      </w:r>
      <w:r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单个项目申请自治区财政科技经费支持额度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不超过</w:t>
      </w: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szCs w:val="32"/>
          <w:lang w:val="en-US" w:eastAsia="zh-CN"/>
        </w:rPr>
        <w:t>50</w:t>
      </w: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szCs w:val="32"/>
        </w:rPr>
        <w:t>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元。</w:t>
      </w:r>
    </w:p>
    <w:p w14:paraId="463715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三、申报条件</w:t>
      </w:r>
    </w:p>
    <w:p w14:paraId="1F255B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eastAsia="方正仿宋_GBK" w:cs="Times New Roman"/>
          <w:color w:val="auto"/>
          <w:sz w:val="32"/>
          <w:szCs w:val="32"/>
          <w:lang w:val="en" w:eastAsia="zh-CN"/>
        </w:rPr>
        <w:t>（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一）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lang w:val="en" w:eastAsia="zh-CN"/>
        </w:rPr>
        <w:t>项目申报单位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" w:eastAsia="zh-CN"/>
        </w:rPr>
        <w:t>应是在自治区境内注册具有独立法人资格的科研院所、高等院校、企业、其他事业单位以及机构，单位及法人代表无不良信用记录；具备与项目实施相匹配的基础条件和能力，具有健全的科研、财务等管理制度。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  <w:t>所有项目申报主体需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通过新疆科技特派员信息服务平台登记备案。</w:t>
      </w:r>
    </w:p>
    <w:p w14:paraId="7B3C88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方正仿宋_GBK" w:hAnsi="方正仿宋_GBK" w:eastAsia="方正仿宋_GBK" w:cs="方正仿宋_GBK"/>
          <w:b/>
          <w:bCs/>
          <w:color w:val="auto"/>
          <w:sz w:val="32"/>
          <w:szCs w:val="32"/>
          <w:lang w:val="en-US" w:eastAsia="zh-CN"/>
        </w:rPr>
        <w:t>科</w:t>
      </w:r>
      <w:r>
        <w:rPr>
          <w:rFonts w:hint="eastAsia" w:ascii="Times New Roman" w:hAnsi="Times New Roman" w:eastAsia="方正仿宋_GBK" w:cs="Times New Roman"/>
          <w:b/>
          <w:bCs/>
          <w:color w:val="auto"/>
          <w:sz w:val="32"/>
          <w:szCs w:val="32"/>
          <w:lang w:val="en-US" w:eastAsia="zh-CN"/>
        </w:rPr>
        <w:t>技特派</w:t>
      </w:r>
      <w:r>
        <w:rPr>
          <w:rFonts w:hint="eastAsia" w:eastAsia="方正仿宋_GBK" w:cs="Times New Roman"/>
          <w:b/>
          <w:bCs/>
          <w:color w:val="auto"/>
          <w:sz w:val="32"/>
          <w:szCs w:val="32"/>
          <w:lang w:val="en-US" w:eastAsia="zh-CN"/>
        </w:rPr>
        <w:t>员服务</w:t>
      </w:r>
      <w:r>
        <w:rPr>
          <w:rFonts w:hint="eastAsia" w:ascii="Times New Roman" w:hAnsi="Times New Roman" w:eastAsia="方正仿宋_GBK" w:cs="Times New Roman"/>
          <w:b/>
          <w:bCs/>
          <w:color w:val="auto"/>
          <w:sz w:val="32"/>
          <w:szCs w:val="32"/>
          <w:lang w:val="en-US" w:eastAsia="zh-CN"/>
        </w:rPr>
        <w:t>团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原则上由高校、科研院所、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农技推广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中心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、高新技术企业、科技型中小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企业等单位牵头组建，实行团长负责制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，名称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一般以“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县（市、区）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名称＋产业＋科技特派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员服务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团”命名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；</w:t>
      </w:r>
      <w:r>
        <w:rPr>
          <w:rFonts w:hint="eastAsia" w:ascii="方正仿宋_GBK" w:hAnsi="方正仿宋_GBK" w:eastAsia="方正仿宋_GBK" w:cs="方正仿宋_GBK"/>
          <w:b/>
          <w:bCs/>
          <w:color w:val="auto"/>
          <w:sz w:val="32"/>
          <w:szCs w:val="32"/>
          <w:lang w:val="en-US" w:eastAsia="zh-CN"/>
        </w:rPr>
        <w:t>科技特派员实验示范站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原则上由高校、科研院所牵头组建，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名称一般以“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县（市、区）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名称＋产业＋科技特派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员实验示范站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”命名。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项目团队人数不少于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人，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负责人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应具备高级职称，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成员原则上应具备中级以上职称，团队结构合理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专业特长覆盖全产业链，具备解决区域产业发展的科技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成果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转化及产业化能力。</w:t>
      </w:r>
    </w:p>
    <w:p w14:paraId="03D3A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ascii="方正黑体_GBK" w:hAnsi="方正黑体_GBK" w:eastAsia="方正黑体_GBK" w:cs="方正黑体_GBK"/>
          <w:color w:val="auto"/>
          <w:sz w:val="32"/>
          <w:szCs w:val="32"/>
          <w:lang w:bidi="ar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bidi="ar"/>
        </w:rPr>
        <w:t>四、申报要求</w:t>
      </w:r>
    </w:p>
    <w:p w14:paraId="5D41FA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（一）项目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  <w:t>考核指标应包括技术指标、产业指标和社会效益指标等，指标量化具体、可考核性强。其中，技术指标应包含解决的关键技术问题，形成的新技术、新工艺、新产品、新标准等；产业指标应包含预计产能、产值及税收等；社会效益指标应包含示范面积、技术培训及技术指导场次人次、服务农民数（户）等。</w:t>
      </w:r>
      <w:r>
        <w:rPr>
          <w:rFonts w:hint="eastAsia" w:ascii="方正仿宋_GBK" w:hAnsi="宋体" w:eastAsia="方正仿宋_GBK" w:cs="宋体"/>
          <w:color w:val="auto"/>
          <w:kern w:val="0"/>
          <w:sz w:val="32"/>
          <w:szCs w:val="32"/>
          <w:lang w:val="en-US" w:eastAsia="zh-CN"/>
        </w:rPr>
        <w:t>重点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项目需开展技术服务场次每年不少于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30场次，培训农民每年不少于800人次；服务项目需培训农民每年不少于300人次。</w:t>
      </w:r>
    </w:p>
    <w:p w14:paraId="64330D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（二）重点项目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牵头单位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需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与县（市、区）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科技管理部门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签订合作协议，约定服务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对象、服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务内容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服务方式、工作目标、任务清单、完成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时限及责任义务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。</w:t>
      </w:r>
    </w:p>
    <w:p w14:paraId="2E56AA6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baseline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鼓励各地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、州、市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对国家“三区”人才计划及自治区特派员服务项目开展联动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支持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安排专项经费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扩大科技特派员支持及覆盖范围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。</w:t>
      </w:r>
    </w:p>
    <w:p w14:paraId="1C3F9F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（四）有下列情况之一的属于限制申报范围：</w:t>
      </w:r>
    </w:p>
    <w:p w14:paraId="1193C2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项目负责人有在研项目或已立项公示项目（不包括自治区科技特派员服务项目和自治区自然科学基金</w:t>
      </w:r>
      <w:r>
        <w:rPr>
          <w:rFonts w:hint="eastAsia" w:eastAsia="方正仿宋_GBK" w:cs="Times New Roman"/>
          <w:color w:val="auto"/>
          <w:kern w:val="2"/>
          <w:sz w:val="32"/>
          <w:szCs w:val="32"/>
          <w:lang w:val="en-US" w:eastAsia="zh-CN" w:bidi="ar-SA"/>
        </w:rPr>
        <w:t>项目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）；</w:t>
      </w:r>
    </w:p>
    <w:p w14:paraId="7D654E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项目主要技术经济指标与国家、自治区已立项项目相同或相近的；</w:t>
      </w:r>
    </w:p>
    <w:p w14:paraId="4B9BDC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违反上述申报限制的，将按照科研诚信相关规定处理。</w:t>
      </w:r>
    </w:p>
    <w:p w14:paraId="39FB22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（五）项目申报企业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自筹经费与财政拨款比例不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  <w:t>低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于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:1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 w14:paraId="6931D3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六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）项目执行期一般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为2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年。</w:t>
      </w:r>
    </w:p>
    <w:p w14:paraId="59169F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五、申报方式</w:t>
      </w:r>
    </w:p>
    <w:p w14:paraId="60E7A26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baseline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bidi="ar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bidi="ar"/>
        </w:rPr>
        <w:t>（一）重点及其他项目通过“新疆科技计划管理公共服务平台”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（kjt.xinjiang.gov.cn）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bidi="ar"/>
        </w:rPr>
        <w:t>进行网上申报。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  <w:t>项目申报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bidi="ar"/>
        </w:rPr>
        <w:t>需提交《自治区科技计划项目诚信承诺书》，企业需提交《自筹经费承诺函》，推荐单位需出具《推荐函》。</w:t>
      </w:r>
    </w:p>
    <w:p w14:paraId="65215F5F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baseline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bidi="ar"/>
        </w:rPr>
        <w:t>（二）服务项目通过项目实施地所在县（市、区）科技管理部门进行线下申报。县（市、区）科技管理部门完成项目初审后推荐至地（州、市）科技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 w:bidi="ar"/>
        </w:rPr>
        <w:t>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bidi="ar"/>
        </w:rPr>
        <w:t>进行初评，初评</w:t>
      </w: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szCs w:val="32"/>
          <w:lang w:val="en-US" w:eastAsia="zh-CN"/>
        </w:rPr>
        <w:t>结果</w:t>
      </w: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szCs w:val="32"/>
        </w:rPr>
        <w:t>由地（州、市）科技</w:t>
      </w: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szCs w:val="32"/>
          <w:lang w:eastAsia="zh-CN"/>
        </w:rPr>
        <w:t>局</w:t>
      </w: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szCs w:val="32"/>
        </w:rPr>
        <w:t>汇总上报至科技厅。</w:t>
      </w:r>
      <w:r>
        <w:rPr>
          <w:rFonts w:hint="eastAsia" w:ascii="方正仿宋_GBK" w:hAnsi="方正仿宋_GBK" w:eastAsia="方正仿宋_GBK" w:cs="方正仿宋_GBK"/>
          <w:color w:val="auto"/>
          <w:spacing w:val="-6"/>
          <w:kern w:val="2"/>
          <w:sz w:val="32"/>
          <w:szCs w:val="32"/>
          <w:lang w:val="en-US" w:eastAsia="zh-CN" w:bidi="ar-SA"/>
        </w:rPr>
        <w:t>推荐单位应对申请人的申请资格负责，并对申请材料的真实性和完整性进行审核。申报单位和个人应符合科研诚信相关管理规定。</w:t>
      </w:r>
    </w:p>
    <w:p w14:paraId="1BE482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、联系方式</w:t>
      </w:r>
    </w:p>
    <w:p w14:paraId="57287ACF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科技厅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农村科技处</w:t>
      </w:r>
    </w:p>
    <w:p w14:paraId="48CADD2F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联 系 人：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陶柳婷</w:t>
      </w:r>
    </w:p>
    <w:p w14:paraId="48C2D6E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联系电话：0991-38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22204</w:t>
      </w:r>
    </w:p>
    <w:p w14:paraId="6628F18D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2.新疆科技发展战略研究院农村中心</w:t>
      </w:r>
    </w:p>
    <w:p w14:paraId="448E172B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联 系 人：胡德江  朱光辉</w:t>
      </w:r>
    </w:p>
    <w:p w14:paraId="27A7E872">
      <w:pPr>
        <w:keepNext w:val="0"/>
        <w:keepLines w:val="0"/>
        <w:pageBreakBefore w:val="0"/>
        <w:tabs>
          <w:tab w:val="left" w:pos="5415"/>
        </w:tabs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联系电话：0991-3836013  3835476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ab/>
      </w:r>
    </w:p>
    <w:p w14:paraId="49A35CCB">
      <w:pPr>
        <w:keepNext w:val="0"/>
        <w:keepLines w:val="0"/>
        <w:pageBreakBefore w:val="0"/>
        <w:tabs>
          <w:tab w:val="left" w:pos="5415"/>
        </w:tabs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 w14:paraId="19DC8D4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/>
        <w:rPr>
          <w:color w:val="auto"/>
        </w:rPr>
      </w:pPr>
    </w:p>
    <w:sectPr>
      <w:footerReference r:id="rId3" w:type="default"/>
      <w:pgSz w:w="11906" w:h="16838"/>
      <w:pgMar w:top="2098" w:right="1587" w:bottom="1417" w:left="1588" w:header="1134" w:footer="1361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CC1F5F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3C5D30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3C5D30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5YzdjNWQ5MmFhZmQ5MGIwMmJkNjRjODIwMGE5ZjcifQ=="/>
    <w:docVar w:name="KSO_WPS_MARK_KEY" w:val="b03e3f17-d61d-44ab-8062-179185dc1cae"/>
  </w:docVars>
  <w:rsids>
    <w:rsidRoot w:val="7C7512A1"/>
    <w:rsid w:val="013030D6"/>
    <w:rsid w:val="02105DD0"/>
    <w:rsid w:val="0281282A"/>
    <w:rsid w:val="028E4F47"/>
    <w:rsid w:val="030C7DAC"/>
    <w:rsid w:val="0361440A"/>
    <w:rsid w:val="03664BC2"/>
    <w:rsid w:val="044153FB"/>
    <w:rsid w:val="048E56D2"/>
    <w:rsid w:val="0552412D"/>
    <w:rsid w:val="06113AEC"/>
    <w:rsid w:val="06C62F02"/>
    <w:rsid w:val="06DF5D71"/>
    <w:rsid w:val="07414C7E"/>
    <w:rsid w:val="081B5AD5"/>
    <w:rsid w:val="082C4FE6"/>
    <w:rsid w:val="08601134"/>
    <w:rsid w:val="0992531D"/>
    <w:rsid w:val="09FC30DE"/>
    <w:rsid w:val="0ABA0FCF"/>
    <w:rsid w:val="10505F32"/>
    <w:rsid w:val="116C25CF"/>
    <w:rsid w:val="118B7221"/>
    <w:rsid w:val="12555A81"/>
    <w:rsid w:val="128E7DAC"/>
    <w:rsid w:val="129640D0"/>
    <w:rsid w:val="12C16C73"/>
    <w:rsid w:val="12C549B5"/>
    <w:rsid w:val="15D3522C"/>
    <w:rsid w:val="161A0B74"/>
    <w:rsid w:val="161B669A"/>
    <w:rsid w:val="163065E9"/>
    <w:rsid w:val="16730284"/>
    <w:rsid w:val="17832749"/>
    <w:rsid w:val="184E71FB"/>
    <w:rsid w:val="193463F1"/>
    <w:rsid w:val="19EF40C6"/>
    <w:rsid w:val="1A534654"/>
    <w:rsid w:val="1A7F5449"/>
    <w:rsid w:val="1BAE1197"/>
    <w:rsid w:val="1C480909"/>
    <w:rsid w:val="1CC932F4"/>
    <w:rsid w:val="1E503568"/>
    <w:rsid w:val="1EDB288D"/>
    <w:rsid w:val="1F953961"/>
    <w:rsid w:val="21246D4B"/>
    <w:rsid w:val="215C2664"/>
    <w:rsid w:val="21676C37"/>
    <w:rsid w:val="21843C8D"/>
    <w:rsid w:val="22B8599C"/>
    <w:rsid w:val="22E04EF3"/>
    <w:rsid w:val="22EC10DB"/>
    <w:rsid w:val="232128D9"/>
    <w:rsid w:val="233F60BE"/>
    <w:rsid w:val="23DC56BB"/>
    <w:rsid w:val="23DC613B"/>
    <w:rsid w:val="245A2A83"/>
    <w:rsid w:val="252E401D"/>
    <w:rsid w:val="2603166E"/>
    <w:rsid w:val="266A6868"/>
    <w:rsid w:val="269404CF"/>
    <w:rsid w:val="27457A1B"/>
    <w:rsid w:val="279D7857"/>
    <w:rsid w:val="27D150E1"/>
    <w:rsid w:val="27D30AA1"/>
    <w:rsid w:val="283F26BC"/>
    <w:rsid w:val="29E2782A"/>
    <w:rsid w:val="2A110088"/>
    <w:rsid w:val="2A895E70"/>
    <w:rsid w:val="2B3109D9"/>
    <w:rsid w:val="2B45623B"/>
    <w:rsid w:val="2F4044CD"/>
    <w:rsid w:val="2F7B66D0"/>
    <w:rsid w:val="300D4E4E"/>
    <w:rsid w:val="302A3C52"/>
    <w:rsid w:val="30BA0361"/>
    <w:rsid w:val="30C9346B"/>
    <w:rsid w:val="30E3452C"/>
    <w:rsid w:val="31F07DC0"/>
    <w:rsid w:val="32270449"/>
    <w:rsid w:val="32466CAB"/>
    <w:rsid w:val="32B12408"/>
    <w:rsid w:val="332E3A59"/>
    <w:rsid w:val="33501C21"/>
    <w:rsid w:val="33865643"/>
    <w:rsid w:val="33C337C4"/>
    <w:rsid w:val="33CD3272"/>
    <w:rsid w:val="354B600C"/>
    <w:rsid w:val="35647C06"/>
    <w:rsid w:val="357F22A1"/>
    <w:rsid w:val="35BE2E72"/>
    <w:rsid w:val="36032F7B"/>
    <w:rsid w:val="374970B3"/>
    <w:rsid w:val="37B54749"/>
    <w:rsid w:val="37BD4FBD"/>
    <w:rsid w:val="38402264"/>
    <w:rsid w:val="38883C0B"/>
    <w:rsid w:val="38BB5D8F"/>
    <w:rsid w:val="393107B5"/>
    <w:rsid w:val="395064D7"/>
    <w:rsid w:val="3AA25AFB"/>
    <w:rsid w:val="3AE570F3"/>
    <w:rsid w:val="3AE96BE3"/>
    <w:rsid w:val="3B871F58"/>
    <w:rsid w:val="3B9F3746"/>
    <w:rsid w:val="3BDF1D94"/>
    <w:rsid w:val="3D2757A1"/>
    <w:rsid w:val="3D567E34"/>
    <w:rsid w:val="3D905342"/>
    <w:rsid w:val="3E2A5882"/>
    <w:rsid w:val="3EEB139D"/>
    <w:rsid w:val="3FD414E4"/>
    <w:rsid w:val="400D4983"/>
    <w:rsid w:val="40786313"/>
    <w:rsid w:val="41596145"/>
    <w:rsid w:val="42BC4BDD"/>
    <w:rsid w:val="43E72782"/>
    <w:rsid w:val="4523796E"/>
    <w:rsid w:val="45B918A8"/>
    <w:rsid w:val="462036D5"/>
    <w:rsid w:val="465869CB"/>
    <w:rsid w:val="46F11FD1"/>
    <w:rsid w:val="47D604EF"/>
    <w:rsid w:val="486A50DB"/>
    <w:rsid w:val="48A405ED"/>
    <w:rsid w:val="4924528A"/>
    <w:rsid w:val="49DF2815"/>
    <w:rsid w:val="4AB34B18"/>
    <w:rsid w:val="4AFD6112"/>
    <w:rsid w:val="4C0A65F5"/>
    <w:rsid w:val="4C4874E2"/>
    <w:rsid w:val="4CF65190"/>
    <w:rsid w:val="4D3161C8"/>
    <w:rsid w:val="4D3C68BD"/>
    <w:rsid w:val="4E265BED"/>
    <w:rsid w:val="4ED35788"/>
    <w:rsid w:val="4EE554BC"/>
    <w:rsid w:val="4F0A0A7E"/>
    <w:rsid w:val="51B573C7"/>
    <w:rsid w:val="51B66C9C"/>
    <w:rsid w:val="52DE294E"/>
    <w:rsid w:val="53FB308C"/>
    <w:rsid w:val="54124897"/>
    <w:rsid w:val="54752E3E"/>
    <w:rsid w:val="549A0AF6"/>
    <w:rsid w:val="54B971CF"/>
    <w:rsid w:val="54BA77D7"/>
    <w:rsid w:val="561F3061"/>
    <w:rsid w:val="56A96DCF"/>
    <w:rsid w:val="574511ED"/>
    <w:rsid w:val="57B7551B"/>
    <w:rsid w:val="584704AD"/>
    <w:rsid w:val="58951D01"/>
    <w:rsid w:val="58C85C32"/>
    <w:rsid w:val="58DF2F1A"/>
    <w:rsid w:val="58FA1B64"/>
    <w:rsid w:val="59570D64"/>
    <w:rsid w:val="59AF0ECF"/>
    <w:rsid w:val="5A706581"/>
    <w:rsid w:val="5AEF428F"/>
    <w:rsid w:val="5B0156AA"/>
    <w:rsid w:val="5B3171F5"/>
    <w:rsid w:val="5D066D29"/>
    <w:rsid w:val="5D0C00B7"/>
    <w:rsid w:val="5DAB5B22"/>
    <w:rsid w:val="5EC61DC6"/>
    <w:rsid w:val="5F3C1128"/>
    <w:rsid w:val="5F4A5B67"/>
    <w:rsid w:val="5FD70E51"/>
    <w:rsid w:val="60193217"/>
    <w:rsid w:val="6024676B"/>
    <w:rsid w:val="61137BCB"/>
    <w:rsid w:val="61534507"/>
    <w:rsid w:val="61FA4982"/>
    <w:rsid w:val="62126170"/>
    <w:rsid w:val="62A85BE9"/>
    <w:rsid w:val="62F21E55"/>
    <w:rsid w:val="63051831"/>
    <w:rsid w:val="63052F68"/>
    <w:rsid w:val="63302D52"/>
    <w:rsid w:val="63367C3C"/>
    <w:rsid w:val="638D1F52"/>
    <w:rsid w:val="644840CB"/>
    <w:rsid w:val="645B7452"/>
    <w:rsid w:val="64721148"/>
    <w:rsid w:val="647E7AED"/>
    <w:rsid w:val="64CF0348"/>
    <w:rsid w:val="652F75B4"/>
    <w:rsid w:val="66110D10"/>
    <w:rsid w:val="661E50E3"/>
    <w:rsid w:val="668561B6"/>
    <w:rsid w:val="66EA76BB"/>
    <w:rsid w:val="671038CF"/>
    <w:rsid w:val="674566A0"/>
    <w:rsid w:val="679D472E"/>
    <w:rsid w:val="682B1D3A"/>
    <w:rsid w:val="69206C58"/>
    <w:rsid w:val="693C3AD3"/>
    <w:rsid w:val="6B2D63AB"/>
    <w:rsid w:val="6C10076A"/>
    <w:rsid w:val="6C335661"/>
    <w:rsid w:val="6C471994"/>
    <w:rsid w:val="6C553829"/>
    <w:rsid w:val="6C627CF4"/>
    <w:rsid w:val="6D8C327A"/>
    <w:rsid w:val="6DA265FA"/>
    <w:rsid w:val="6E2C05BA"/>
    <w:rsid w:val="6EE36ECA"/>
    <w:rsid w:val="6F0532E4"/>
    <w:rsid w:val="6FCC795E"/>
    <w:rsid w:val="70182BA3"/>
    <w:rsid w:val="7048164A"/>
    <w:rsid w:val="70A1406F"/>
    <w:rsid w:val="715C2F64"/>
    <w:rsid w:val="721455EC"/>
    <w:rsid w:val="73F12089"/>
    <w:rsid w:val="740B4777"/>
    <w:rsid w:val="74C72DEA"/>
    <w:rsid w:val="74CA6436"/>
    <w:rsid w:val="74DD0860"/>
    <w:rsid w:val="75357D54"/>
    <w:rsid w:val="75720FA8"/>
    <w:rsid w:val="75B01236"/>
    <w:rsid w:val="76D06B1F"/>
    <w:rsid w:val="76F123A0"/>
    <w:rsid w:val="77204A34"/>
    <w:rsid w:val="77476464"/>
    <w:rsid w:val="779276DF"/>
    <w:rsid w:val="78C90167"/>
    <w:rsid w:val="7999366C"/>
    <w:rsid w:val="79D62CD3"/>
    <w:rsid w:val="7A1457DA"/>
    <w:rsid w:val="7AD65B35"/>
    <w:rsid w:val="7B7B492E"/>
    <w:rsid w:val="7BBB4D2B"/>
    <w:rsid w:val="7C7512A1"/>
    <w:rsid w:val="7CEF2EDE"/>
    <w:rsid w:val="7D0F17D2"/>
    <w:rsid w:val="7E0806FB"/>
    <w:rsid w:val="7EEE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600" w:firstLineChars="200"/>
    </w:pPr>
    <w:rPr>
      <w:sz w:val="30"/>
    </w:r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First Indent"/>
    <w:basedOn w:val="4"/>
    <w:qFormat/>
    <w:uiPriority w:val="0"/>
    <w:pPr>
      <w:ind w:firstLine="420" w:firstLineChars="100"/>
    </w:pPr>
    <w:rPr>
      <w:rFonts w:eastAsia="宋体" w:cs="Times New Roman"/>
      <w:szCs w:val="24"/>
    </w:rPr>
  </w:style>
  <w:style w:type="paragraph" w:styleId="6">
    <w:name w:val="Body Text Indent 2"/>
    <w:basedOn w:val="1"/>
    <w:next w:val="1"/>
    <w:unhideWhenUsed/>
    <w:qFormat/>
    <w:uiPriority w:val="99"/>
    <w:pPr>
      <w:ind w:firstLine="640" w:firstLineChars="200"/>
    </w:pPr>
    <w:rPr>
      <w:rFonts w:cs="宋体"/>
      <w:sz w:val="32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FollowedHyperlink"/>
    <w:basedOn w:val="10"/>
    <w:qFormat/>
    <w:uiPriority w:val="0"/>
    <w:rPr>
      <w:color w:val="333333"/>
      <w:u w:val="none"/>
    </w:rPr>
  </w:style>
  <w:style w:type="character" w:styleId="12">
    <w:name w:val="Hyperlink"/>
    <w:basedOn w:val="10"/>
    <w:qFormat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2605</Words>
  <Characters>2682</Characters>
  <Lines>0</Lines>
  <Paragraphs>0</Paragraphs>
  <TotalTime>8</TotalTime>
  <ScaleCrop>false</ScaleCrop>
  <LinksUpToDate>false</LinksUpToDate>
  <CharactersWithSpaces>2691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2025-01-02T11:39:00Z</dcterms:created>
  <dc:creator>风之子</dc:creator>
  <cp:lastModifiedBy>Administrator</cp:lastModifiedBy>
  <cp:lastPrinted>2025-03-14T11:07:00Z</cp:lastPrinted>
  <dcterms:modified xsi:type="dcterms:W3CDTF">2025-04-02T10:49:42Z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5BD6F639CD0D46EEBAE23ED6329B04D2_13</vt:lpwstr>
  </property>
  <property fmtid="{D5CDD505-2E9C-101B-9397-08002B2CF9AE}" pid="4" name="KSOTemplateDocerSaveRecord">
    <vt:lpwstr>eyJoZGlkIjoiZjZiYmRiNmVhOGU2MWJkODc0NzU0ZDllMTY0NzAxYzEifQ==</vt:lpwstr>
  </property>
</Properties>
</file>